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E9E0F8" w14:textId="77777777" w:rsidR="001E52D9" w:rsidRDefault="001E52D9" w:rsidP="001E52D9">
      <w:pPr>
        <w:spacing w:line="480" w:lineRule="auto"/>
        <w:jc w:val="center"/>
        <w:rPr>
          <w:rFonts w:ascii="Times New Roman" w:hAnsi="Times New Roman" w:cs="Times New Roman"/>
          <w:sz w:val="24"/>
          <w:szCs w:val="24"/>
        </w:rPr>
      </w:pPr>
    </w:p>
    <w:p w14:paraId="63722691" w14:textId="77777777" w:rsidR="001E52D9" w:rsidRDefault="001E52D9" w:rsidP="001E52D9">
      <w:pPr>
        <w:spacing w:line="480" w:lineRule="auto"/>
        <w:jc w:val="center"/>
        <w:rPr>
          <w:rFonts w:ascii="Times New Roman" w:hAnsi="Times New Roman" w:cs="Times New Roman"/>
          <w:sz w:val="24"/>
          <w:szCs w:val="24"/>
        </w:rPr>
      </w:pPr>
    </w:p>
    <w:p w14:paraId="5069D030" w14:textId="77777777" w:rsidR="001E52D9" w:rsidRDefault="001E52D9" w:rsidP="001E52D9">
      <w:pPr>
        <w:spacing w:line="480" w:lineRule="auto"/>
        <w:jc w:val="center"/>
        <w:rPr>
          <w:rFonts w:ascii="Times New Roman" w:hAnsi="Times New Roman" w:cs="Times New Roman"/>
          <w:sz w:val="24"/>
          <w:szCs w:val="24"/>
        </w:rPr>
      </w:pPr>
    </w:p>
    <w:p w14:paraId="5FD61FBC" w14:textId="77777777" w:rsidR="001E52D9" w:rsidRDefault="001E52D9" w:rsidP="001E52D9">
      <w:pPr>
        <w:spacing w:line="480" w:lineRule="auto"/>
        <w:jc w:val="center"/>
        <w:rPr>
          <w:rFonts w:ascii="Times New Roman" w:hAnsi="Times New Roman" w:cs="Times New Roman"/>
          <w:sz w:val="24"/>
          <w:szCs w:val="24"/>
        </w:rPr>
      </w:pPr>
    </w:p>
    <w:p w14:paraId="07A1B594" w14:textId="77777777" w:rsidR="001E52D9" w:rsidRDefault="001E52D9" w:rsidP="001E52D9">
      <w:pPr>
        <w:spacing w:line="480" w:lineRule="auto"/>
        <w:jc w:val="center"/>
        <w:rPr>
          <w:rFonts w:ascii="Times New Roman" w:hAnsi="Times New Roman" w:cs="Times New Roman"/>
          <w:sz w:val="24"/>
          <w:szCs w:val="24"/>
        </w:rPr>
      </w:pPr>
    </w:p>
    <w:p w14:paraId="0D3C132B" w14:textId="77777777" w:rsidR="001E52D9" w:rsidRDefault="001E52D9" w:rsidP="001E52D9">
      <w:pPr>
        <w:spacing w:line="480" w:lineRule="auto"/>
        <w:jc w:val="center"/>
        <w:rPr>
          <w:rFonts w:ascii="Times New Roman" w:hAnsi="Times New Roman" w:cs="Times New Roman"/>
          <w:sz w:val="24"/>
          <w:szCs w:val="24"/>
        </w:rPr>
      </w:pPr>
    </w:p>
    <w:p w14:paraId="7E4B0B6B" w14:textId="61BF9175" w:rsidR="005D443D" w:rsidRDefault="001E52D9" w:rsidP="001E52D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Part 2: </w:t>
      </w:r>
      <w:r w:rsidR="005D443D" w:rsidRPr="005C2B9C">
        <w:rPr>
          <w:rFonts w:ascii="Times New Roman" w:hAnsi="Times New Roman" w:cs="Times New Roman"/>
          <w:sz w:val="24"/>
          <w:szCs w:val="24"/>
        </w:rPr>
        <w:t xml:space="preserve">Article </w:t>
      </w:r>
      <w:r>
        <w:rPr>
          <w:rFonts w:ascii="Times New Roman" w:hAnsi="Times New Roman" w:cs="Times New Roman"/>
          <w:sz w:val="24"/>
          <w:szCs w:val="24"/>
        </w:rPr>
        <w:t>Summary</w:t>
      </w:r>
    </w:p>
    <w:p w14:paraId="58EE7A64" w14:textId="7FCB09C5" w:rsidR="001E52D9" w:rsidRDefault="001E52D9" w:rsidP="001E52D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B42CF6A" w14:textId="14F4F966" w:rsidR="001E52D9" w:rsidRDefault="001E52D9" w:rsidP="001E52D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721242A8" w14:textId="77777777" w:rsidR="001E52D9" w:rsidRDefault="001E52D9" w:rsidP="001E52D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E5573C0" w14:textId="33FFA964" w:rsidR="00CD54FE" w:rsidRPr="005C2B9C" w:rsidRDefault="001E52D9" w:rsidP="001E52D9">
      <w:pPr>
        <w:spacing w:line="480" w:lineRule="auto"/>
        <w:jc w:val="center"/>
        <w:rPr>
          <w:rFonts w:ascii="Times New Roman" w:hAnsi="Times New Roman" w:cs="Times New Roman"/>
          <w:sz w:val="24"/>
          <w:szCs w:val="24"/>
        </w:rPr>
      </w:pPr>
      <w:r w:rsidRPr="001E52D9">
        <w:rPr>
          <w:rFonts w:ascii="Times New Roman" w:hAnsi="Times New Roman" w:cs="Times New Roman"/>
          <w:sz w:val="24"/>
          <w:szCs w:val="24"/>
        </w:rPr>
        <w:lastRenderedPageBreak/>
        <w:t>Part 2: Article Summary</w:t>
      </w:r>
    </w:p>
    <w:p w14:paraId="7C479019" w14:textId="288BDA39" w:rsidR="00CD54FE" w:rsidRPr="005C2B9C" w:rsidRDefault="00CD54FE" w:rsidP="009A0496">
      <w:pPr>
        <w:spacing w:line="480" w:lineRule="auto"/>
        <w:ind w:firstLine="720"/>
        <w:rPr>
          <w:rFonts w:ascii="Times New Roman" w:hAnsi="Times New Roman" w:cs="Times New Roman"/>
          <w:sz w:val="24"/>
          <w:szCs w:val="24"/>
        </w:rPr>
      </w:pPr>
      <w:r w:rsidRPr="005C2B9C">
        <w:rPr>
          <w:rFonts w:ascii="Times New Roman" w:hAnsi="Times New Roman" w:cs="Times New Roman"/>
          <w:sz w:val="24"/>
          <w:szCs w:val="24"/>
        </w:rPr>
        <w:t>The following section seeks to provide a comprehensive summary of Marco Sahm’s critical perspectives in his peer reviewed article, “</w:t>
      </w:r>
      <w:r w:rsidRPr="005C2B9C">
        <w:rPr>
          <w:rFonts w:ascii="Times New Roman" w:hAnsi="Times New Roman" w:cs="Times New Roman"/>
          <w:i/>
          <w:sz w:val="24"/>
          <w:szCs w:val="24"/>
        </w:rPr>
        <w:t>Methods of Capital Gains Taxation and the Impact on Asset prices and Welfare</w:t>
      </w:r>
      <w:r w:rsidRPr="005C2B9C">
        <w:rPr>
          <w:rFonts w:ascii="Times New Roman" w:hAnsi="Times New Roman" w:cs="Times New Roman"/>
          <w:sz w:val="24"/>
          <w:szCs w:val="24"/>
        </w:rPr>
        <w:t>,” in an attempt to offer a clear-cut view of how it relates to the diverse effects imposed on a variety of individuals’ capital subject to harsh taxation schematics over the course of their life trajectories</w:t>
      </w:r>
      <w:r w:rsidR="00272061" w:rsidRPr="005C2B9C">
        <w:rPr>
          <w:rFonts w:ascii="Times New Roman" w:hAnsi="Times New Roman" w:cs="Times New Roman"/>
          <w:sz w:val="24"/>
          <w:szCs w:val="24"/>
        </w:rPr>
        <w:t xml:space="preserve"> </w:t>
      </w:r>
      <w:r w:rsidR="00272061" w:rsidRPr="005C2B9C">
        <w:rPr>
          <w:rFonts w:ascii="Times New Roman" w:hAnsi="Times New Roman" w:cs="Times New Roman"/>
          <w:sz w:val="24"/>
          <w:szCs w:val="24"/>
          <w:shd w:val="clear" w:color="auto" w:fill="FFFFFF"/>
        </w:rPr>
        <w:t>(Sahm, 2008)</w:t>
      </w:r>
      <w:r w:rsidRPr="005C2B9C">
        <w:rPr>
          <w:rFonts w:ascii="Times New Roman" w:hAnsi="Times New Roman" w:cs="Times New Roman"/>
          <w:sz w:val="24"/>
          <w:szCs w:val="24"/>
        </w:rPr>
        <w:t xml:space="preserve">. </w:t>
      </w:r>
      <w:r w:rsidR="00511D5C">
        <w:rPr>
          <w:rFonts w:ascii="Times New Roman" w:hAnsi="Times New Roman" w:cs="Times New Roman"/>
          <w:sz w:val="24"/>
          <w:szCs w:val="24"/>
        </w:rPr>
        <w:t>Perspectives of other authors of other two articles are also incorporated.</w:t>
      </w:r>
      <w:bookmarkStart w:id="0" w:name="_GoBack"/>
      <w:bookmarkEnd w:id="0"/>
      <w:r w:rsidRPr="005C2B9C">
        <w:rPr>
          <w:rFonts w:ascii="Times New Roman" w:hAnsi="Times New Roman" w:cs="Times New Roman"/>
          <w:sz w:val="24"/>
          <w:szCs w:val="24"/>
        </w:rPr>
        <w:t>According to Sahm, the prospects of embracing an economically bereft system whose critical tenets increasingly aim towards the subsequent promotion of implementing harsh taxation techniques designed to serve the interests of the fewer caste of individuals in the society known to have accumulated wealth overtime, thereby setting course for the subsequent development of an unfair economically proven framework, which seemingly intends to generally undermine the interests of other people in the society with less property in terms of assets.</w:t>
      </w:r>
    </w:p>
    <w:p w14:paraId="60701C9F" w14:textId="27B1DC6F" w:rsidR="00CD54FE" w:rsidRPr="005C2B9C" w:rsidRDefault="00CD54FE" w:rsidP="009A0496">
      <w:pPr>
        <w:spacing w:line="480" w:lineRule="auto"/>
        <w:ind w:firstLine="720"/>
        <w:rPr>
          <w:rFonts w:ascii="Times New Roman" w:hAnsi="Times New Roman" w:cs="Times New Roman"/>
          <w:sz w:val="24"/>
          <w:szCs w:val="24"/>
        </w:rPr>
      </w:pPr>
      <w:r w:rsidRPr="005C2B9C">
        <w:rPr>
          <w:rFonts w:ascii="Times New Roman" w:hAnsi="Times New Roman" w:cs="Times New Roman"/>
          <w:sz w:val="24"/>
          <w:szCs w:val="24"/>
        </w:rPr>
        <w:t xml:space="preserve">The scope of Sahm’s critical perspectives in his article, therefore, intend to illustrate and or portray the general detriment imposed by the prevalent method of taxation used in calculating the amount of gains one gets to earn on </w:t>
      </w:r>
      <w:r w:rsidR="00D375A2" w:rsidRPr="005C2B9C">
        <w:rPr>
          <w:rFonts w:ascii="Times New Roman" w:hAnsi="Times New Roman" w:cs="Times New Roman"/>
          <w:sz w:val="24"/>
          <w:szCs w:val="24"/>
        </w:rPr>
        <w:t>different</w:t>
      </w:r>
      <w:r w:rsidRPr="005C2B9C">
        <w:rPr>
          <w:rFonts w:ascii="Times New Roman" w:hAnsi="Times New Roman" w:cs="Times New Roman"/>
          <w:sz w:val="24"/>
          <w:szCs w:val="24"/>
        </w:rPr>
        <w:t xml:space="preserve"> types of capital assets designed to take effect on a realization basis instead of the more accommodating technique of taxation, which unlike the former, affects the acquisition of capital gains based on accrual</w:t>
      </w:r>
      <w:r w:rsidR="00272061" w:rsidRPr="005C2B9C">
        <w:rPr>
          <w:rFonts w:ascii="Times New Roman" w:hAnsi="Times New Roman" w:cs="Times New Roman"/>
          <w:sz w:val="24"/>
          <w:szCs w:val="24"/>
        </w:rPr>
        <w:t xml:space="preserve"> </w:t>
      </w:r>
      <w:r w:rsidR="00272061" w:rsidRPr="005C2B9C">
        <w:rPr>
          <w:rFonts w:ascii="Times New Roman" w:hAnsi="Times New Roman" w:cs="Times New Roman"/>
          <w:sz w:val="24"/>
          <w:szCs w:val="24"/>
          <w:shd w:val="clear" w:color="auto" w:fill="FFFFFF"/>
        </w:rPr>
        <w:t>(Sahm, 2008)</w:t>
      </w:r>
      <w:r w:rsidRPr="005C2B9C">
        <w:rPr>
          <w:rFonts w:ascii="Times New Roman" w:hAnsi="Times New Roman" w:cs="Times New Roman"/>
          <w:sz w:val="24"/>
          <w:szCs w:val="24"/>
        </w:rPr>
        <w:t>. However, a critical analysis of Sahm’s conceptual framework lodged forth in his article increasingly present the merits, as well as demerits of using both types of taxation, thereby leveling the economic playfield upon which people receive gains and or losses subjective to whatever taxation technique is imposed on a particular asset.</w:t>
      </w:r>
    </w:p>
    <w:p w14:paraId="4806DE3F" w14:textId="77777777" w:rsidR="00CD54FE" w:rsidRPr="005C2B9C" w:rsidRDefault="00CD54FE" w:rsidP="009A0496">
      <w:pPr>
        <w:spacing w:line="480" w:lineRule="auto"/>
        <w:ind w:firstLine="720"/>
        <w:rPr>
          <w:rFonts w:ascii="Times New Roman" w:hAnsi="Times New Roman" w:cs="Times New Roman"/>
          <w:sz w:val="24"/>
          <w:szCs w:val="24"/>
        </w:rPr>
      </w:pPr>
      <w:r w:rsidRPr="005C2B9C">
        <w:rPr>
          <w:rFonts w:ascii="Times New Roman" w:hAnsi="Times New Roman" w:cs="Times New Roman"/>
          <w:sz w:val="24"/>
          <w:szCs w:val="24"/>
        </w:rPr>
        <w:lastRenderedPageBreak/>
        <w:t>A closer examination of Marco Sahm’s clear-cut vantage point on the issue of taxation of capital assets tentatively sends a familiar message relative, to a larger extent, on how the standard benchmark for which the calculation of after tax basis integrates with that of net present value, or NPV for short, thereby leading to the development of a sound framework whose core tenets largely give meaning to the role played by the subsequent determination of a net present value</w:t>
      </w:r>
      <w:r w:rsidR="00272061" w:rsidRPr="005C2B9C">
        <w:rPr>
          <w:rFonts w:ascii="Times New Roman" w:hAnsi="Times New Roman" w:cs="Times New Roman"/>
          <w:sz w:val="24"/>
          <w:szCs w:val="24"/>
        </w:rPr>
        <w:t xml:space="preserve"> </w:t>
      </w:r>
      <w:r w:rsidR="00272061" w:rsidRPr="005C2B9C">
        <w:rPr>
          <w:rFonts w:ascii="Times New Roman" w:hAnsi="Times New Roman" w:cs="Times New Roman"/>
          <w:sz w:val="24"/>
          <w:szCs w:val="24"/>
          <w:shd w:val="clear" w:color="auto" w:fill="FFFFFF"/>
        </w:rPr>
        <w:t>(Sahm, 2008)</w:t>
      </w:r>
      <w:r w:rsidRPr="005C2B9C">
        <w:rPr>
          <w:rFonts w:ascii="Times New Roman" w:hAnsi="Times New Roman" w:cs="Times New Roman"/>
          <w:sz w:val="24"/>
          <w:szCs w:val="24"/>
        </w:rPr>
        <w:t>. The determination of the net present value for any given project creates a much simpler way designed to check the suitability of a given project, especially when viewed in terms of acting as a significant element with the potential to influence the development and thus, the subsequent implementation of strategic investment decisions over the scope of critical business operations.</w:t>
      </w:r>
    </w:p>
    <w:p w14:paraId="4A88F299" w14:textId="712F1CDA" w:rsidR="00CD54FE" w:rsidRDefault="00CD54FE" w:rsidP="009A0496">
      <w:pPr>
        <w:spacing w:line="480" w:lineRule="auto"/>
        <w:ind w:firstLine="720"/>
        <w:rPr>
          <w:rFonts w:ascii="Times New Roman" w:hAnsi="Times New Roman" w:cs="Times New Roman"/>
          <w:sz w:val="24"/>
          <w:szCs w:val="24"/>
        </w:rPr>
      </w:pPr>
      <w:r w:rsidRPr="005C2B9C">
        <w:rPr>
          <w:rFonts w:ascii="Times New Roman" w:hAnsi="Times New Roman" w:cs="Times New Roman"/>
          <w:sz w:val="24"/>
          <w:szCs w:val="24"/>
        </w:rPr>
        <w:t>The scope of what Sahm attempts to enunciate in his article categorically conforms to the general ideologies whose core tenets seemingly serve a similar purpose – to embrace the subsequent implementation of a taxation framework, which keeps possession of property and wealth in check with an aim to generally distort the erstwhile national economies into becoming places of the elite and not the masses</w:t>
      </w:r>
      <w:r w:rsidR="00272061" w:rsidRPr="005C2B9C">
        <w:rPr>
          <w:rFonts w:ascii="Times New Roman" w:hAnsi="Times New Roman" w:cs="Times New Roman"/>
          <w:sz w:val="24"/>
          <w:szCs w:val="24"/>
        </w:rPr>
        <w:t xml:space="preserve"> </w:t>
      </w:r>
      <w:r w:rsidR="00272061" w:rsidRPr="005C2B9C">
        <w:rPr>
          <w:rFonts w:ascii="Times New Roman" w:hAnsi="Times New Roman" w:cs="Times New Roman"/>
          <w:sz w:val="24"/>
          <w:szCs w:val="24"/>
          <w:shd w:val="clear" w:color="auto" w:fill="FFFFFF"/>
        </w:rPr>
        <w:t>(Sahm, 2008)</w:t>
      </w:r>
      <w:r w:rsidRPr="005C2B9C">
        <w:rPr>
          <w:rFonts w:ascii="Times New Roman" w:hAnsi="Times New Roman" w:cs="Times New Roman"/>
          <w:sz w:val="24"/>
          <w:szCs w:val="24"/>
        </w:rPr>
        <w:t>. Another attempt at analyzing the critical thoughts of Marco Sahm on the subject at hand further shed light on the need for a closer look into this crucial matter seeing as it has served to undermine the suitability of several economies, especially with certain regard to how it eventually promotes the unfortunate segregation of different kinds of people in the world over</w:t>
      </w:r>
      <w:r w:rsidR="00750035">
        <w:rPr>
          <w:rFonts w:ascii="Times New Roman" w:hAnsi="Times New Roman" w:cs="Times New Roman"/>
          <w:sz w:val="24"/>
          <w:szCs w:val="24"/>
        </w:rPr>
        <w:t xml:space="preserve"> (</w:t>
      </w:r>
      <w:r w:rsidR="00750035" w:rsidRPr="00750035">
        <w:rPr>
          <w:rFonts w:ascii="Times New Roman" w:hAnsi="Times New Roman" w:cs="Times New Roman"/>
          <w:sz w:val="24"/>
          <w:szCs w:val="24"/>
          <w:shd w:val="clear" w:color="auto" w:fill="FFFFFF"/>
        </w:rPr>
        <w:t>Shrieves, &amp; Wachowicz Jr, 2001</w:t>
      </w:r>
      <w:r w:rsidR="00750035">
        <w:rPr>
          <w:rFonts w:ascii="Times New Roman" w:hAnsi="Times New Roman" w:cs="Times New Roman"/>
          <w:sz w:val="24"/>
          <w:szCs w:val="24"/>
          <w:shd w:val="clear" w:color="auto" w:fill="FFFFFF"/>
        </w:rPr>
        <w:t>)</w:t>
      </w:r>
      <w:r w:rsidRPr="005C2B9C">
        <w:rPr>
          <w:rFonts w:ascii="Times New Roman" w:hAnsi="Times New Roman" w:cs="Times New Roman"/>
          <w:sz w:val="24"/>
          <w:szCs w:val="24"/>
        </w:rPr>
        <w:t>.</w:t>
      </w:r>
    </w:p>
    <w:p w14:paraId="3AAD144E" w14:textId="0B14F367" w:rsidR="00F06010" w:rsidRPr="005C2B9C" w:rsidRDefault="00D375A2" w:rsidP="009A049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Therefore, Net prsesnt value is key in the nalaysis of understanding the profitability of the project and the projected returns (</w:t>
      </w:r>
      <w:r w:rsidRPr="00AF414F">
        <w:rPr>
          <w:rFonts w:ascii="Times New Roman" w:hAnsi="Times New Roman" w:cs="Times New Roman"/>
          <w:sz w:val="24"/>
          <w:szCs w:val="24"/>
          <w:shd w:val="clear" w:color="auto" w:fill="FFFFFF"/>
        </w:rPr>
        <w:t>De Reyck, Degraeve &amp; Vandenborre, 2008</w:t>
      </w:r>
      <w:r>
        <w:rPr>
          <w:rFonts w:ascii="Times New Roman" w:hAnsi="Times New Roman" w:cs="Times New Roman"/>
          <w:sz w:val="24"/>
          <w:szCs w:val="24"/>
          <w:shd w:val="clear" w:color="auto" w:fill="FFFFFF"/>
        </w:rPr>
        <w:t>)</w:t>
      </w:r>
      <w:r w:rsidR="009A0496">
        <w:rPr>
          <w:rFonts w:ascii="Times New Roman" w:hAnsi="Times New Roman" w:cs="Times New Roman"/>
          <w:sz w:val="24"/>
          <w:szCs w:val="24"/>
          <w:shd w:val="clear" w:color="auto" w:fill="FFFFFF"/>
        </w:rPr>
        <w:t>.</w:t>
      </w:r>
    </w:p>
    <w:p w14:paraId="5A5220E9" w14:textId="77777777" w:rsidR="009A0496" w:rsidRDefault="009A0496" w:rsidP="000067A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CF0CBC8" w14:textId="1A195EAF" w:rsidR="00F06010" w:rsidRPr="005C2B9C" w:rsidRDefault="00F06010" w:rsidP="000067AF">
      <w:pPr>
        <w:spacing w:line="480" w:lineRule="auto"/>
        <w:jc w:val="center"/>
        <w:rPr>
          <w:rFonts w:ascii="Times New Roman" w:hAnsi="Times New Roman" w:cs="Times New Roman"/>
          <w:sz w:val="24"/>
          <w:szCs w:val="24"/>
        </w:rPr>
      </w:pPr>
      <w:r w:rsidRPr="005C2B9C">
        <w:rPr>
          <w:rFonts w:ascii="Times New Roman" w:hAnsi="Times New Roman" w:cs="Times New Roman"/>
          <w:sz w:val="24"/>
          <w:szCs w:val="24"/>
        </w:rPr>
        <w:lastRenderedPageBreak/>
        <w:t>Reference</w:t>
      </w:r>
    </w:p>
    <w:p w14:paraId="63E5D0A0" w14:textId="4429C7DD" w:rsidR="000067AF" w:rsidRDefault="00BA3D54" w:rsidP="00750035">
      <w:pPr>
        <w:spacing w:line="480" w:lineRule="auto"/>
        <w:ind w:left="720" w:hanging="720"/>
        <w:rPr>
          <w:rFonts w:ascii="Times New Roman" w:hAnsi="Times New Roman" w:cs="Times New Roman"/>
          <w:sz w:val="24"/>
          <w:szCs w:val="24"/>
          <w:shd w:val="clear" w:color="auto" w:fill="FFFFFF"/>
        </w:rPr>
      </w:pPr>
      <w:r w:rsidRPr="005C2B9C">
        <w:rPr>
          <w:rFonts w:ascii="Times New Roman" w:hAnsi="Times New Roman" w:cs="Times New Roman"/>
          <w:sz w:val="24"/>
          <w:szCs w:val="24"/>
          <w:shd w:val="clear" w:color="auto" w:fill="FFFFFF"/>
        </w:rPr>
        <w:t>Sahm, M. (2008). Methods of capital gains taxation and the impact on asset prices and welfare. </w:t>
      </w:r>
      <w:r w:rsidRPr="005C2B9C">
        <w:rPr>
          <w:rFonts w:ascii="Times New Roman" w:hAnsi="Times New Roman" w:cs="Times New Roman"/>
          <w:i/>
          <w:iCs/>
          <w:sz w:val="24"/>
          <w:szCs w:val="24"/>
          <w:shd w:val="clear" w:color="auto" w:fill="FFFFFF"/>
        </w:rPr>
        <w:t>National Tax Journal</w:t>
      </w:r>
      <w:r w:rsidRPr="005C2B9C">
        <w:rPr>
          <w:rFonts w:ascii="Times New Roman" w:hAnsi="Times New Roman" w:cs="Times New Roman"/>
          <w:sz w:val="24"/>
          <w:szCs w:val="24"/>
          <w:shd w:val="clear" w:color="auto" w:fill="FFFFFF"/>
        </w:rPr>
        <w:t>, 743-768.</w:t>
      </w:r>
    </w:p>
    <w:p w14:paraId="11E533C4" w14:textId="1786D061" w:rsidR="00750035" w:rsidRDefault="00750035" w:rsidP="00750035">
      <w:pPr>
        <w:spacing w:line="480" w:lineRule="auto"/>
        <w:ind w:left="720" w:hanging="720"/>
        <w:rPr>
          <w:rFonts w:ascii="Times New Roman" w:hAnsi="Times New Roman" w:cs="Times New Roman"/>
          <w:sz w:val="24"/>
          <w:szCs w:val="24"/>
          <w:shd w:val="clear" w:color="auto" w:fill="FFFFFF"/>
        </w:rPr>
      </w:pPr>
      <w:r w:rsidRPr="00750035">
        <w:rPr>
          <w:rFonts w:ascii="Times New Roman" w:hAnsi="Times New Roman" w:cs="Times New Roman"/>
          <w:sz w:val="24"/>
          <w:szCs w:val="24"/>
          <w:shd w:val="clear" w:color="auto" w:fill="FFFFFF"/>
        </w:rPr>
        <w:t>Shrieves, R. E., &amp; Wachowicz Jr, J. M. (2001). Free Cash Flow (FCF), Economic Value Added (EVA™), and Net Present Value (NPV):. A Reconciliation of Variations of Discounted-Cash-Flow (DCF) Valuation. </w:t>
      </w:r>
      <w:r w:rsidRPr="00750035">
        <w:rPr>
          <w:rFonts w:ascii="Times New Roman" w:hAnsi="Times New Roman" w:cs="Times New Roman"/>
          <w:i/>
          <w:iCs/>
          <w:sz w:val="24"/>
          <w:szCs w:val="24"/>
          <w:shd w:val="clear" w:color="auto" w:fill="FFFFFF"/>
        </w:rPr>
        <w:t>The engineering economist</w:t>
      </w:r>
      <w:r w:rsidRPr="00750035">
        <w:rPr>
          <w:rFonts w:ascii="Times New Roman" w:hAnsi="Times New Roman" w:cs="Times New Roman"/>
          <w:sz w:val="24"/>
          <w:szCs w:val="24"/>
          <w:shd w:val="clear" w:color="auto" w:fill="FFFFFF"/>
        </w:rPr>
        <w:t>, </w:t>
      </w:r>
      <w:r w:rsidRPr="00750035">
        <w:rPr>
          <w:rFonts w:ascii="Times New Roman" w:hAnsi="Times New Roman" w:cs="Times New Roman"/>
          <w:i/>
          <w:iCs/>
          <w:sz w:val="24"/>
          <w:szCs w:val="24"/>
          <w:shd w:val="clear" w:color="auto" w:fill="FFFFFF"/>
        </w:rPr>
        <w:t>46</w:t>
      </w:r>
      <w:r w:rsidRPr="00750035">
        <w:rPr>
          <w:rFonts w:ascii="Times New Roman" w:hAnsi="Times New Roman" w:cs="Times New Roman"/>
          <w:sz w:val="24"/>
          <w:szCs w:val="24"/>
          <w:shd w:val="clear" w:color="auto" w:fill="FFFFFF"/>
        </w:rPr>
        <w:t>(1), 33-52.</w:t>
      </w:r>
    </w:p>
    <w:p w14:paraId="29F4DBDA" w14:textId="78825550" w:rsidR="00AF414F" w:rsidRPr="00750035" w:rsidRDefault="00AF414F" w:rsidP="00750035">
      <w:pPr>
        <w:spacing w:line="480" w:lineRule="auto"/>
        <w:ind w:left="720" w:hanging="720"/>
        <w:rPr>
          <w:rFonts w:ascii="Times New Roman" w:hAnsi="Times New Roman" w:cs="Times New Roman"/>
          <w:sz w:val="24"/>
          <w:szCs w:val="24"/>
          <w:shd w:val="clear" w:color="auto" w:fill="FFFFFF"/>
        </w:rPr>
      </w:pPr>
      <w:r w:rsidRPr="00AF414F">
        <w:rPr>
          <w:rFonts w:ascii="Times New Roman" w:hAnsi="Times New Roman" w:cs="Times New Roman"/>
          <w:sz w:val="24"/>
          <w:szCs w:val="24"/>
          <w:shd w:val="clear" w:color="auto" w:fill="FFFFFF"/>
        </w:rPr>
        <w:t>De Reyck, B., Degraeve, Z., &amp; Vandenborre, R. (2008). Project options valuation with net present value and decision tree analysis. </w:t>
      </w:r>
      <w:r w:rsidRPr="00AF414F">
        <w:rPr>
          <w:rFonts w:ascii="Times New Roman" w:hAnsi="Times New Roman" w:cs="Times New Roman"/>
          <w:i/>
          <w:iCs/>
          <w:sz w:val="24"/>
          <w:szCs w:val="24"/>
          <w:shd w:val="clear" w:color="auto" w:fill="FFFFFF"/>
        </w:rPr>
        <w:t>European Journal of Operational Research</w:t>
      </w:r>
      <w:r w:rsidRPr="00AF414F">
        <w:rPr>
          <w:rFonts w:ascii="Times New Roman" w:hAnsi="Times New Roman" w:cs="Times New Roman"/>
          <w:sz w:val="24"/>
          <w:szCs w:val="24"/>
          <w:shd w:val="clear" w:color="auto" w:fill="FFFFFF"/>
        </w:rPr>
        <w:t>, </w:t>
      </w:r>
      <w:r w:rsidRPr="00AF414F">
        <w:rPr>
          <w:rFonts w:ascii="Times New Roman" w:hAnsi="Times New Roman" w:cs="Times New Roman"/>
          <w:i/>
          <w:iCs/>
          <w:sz w:val="24"/>
          <w:szCs w:val="24"/>
          <w:shd w:val="clear" w:color="auto" w:fill="FFFFFF"/>
        </w:rPr>
        <w:t>184</w:t>
      </w:r>
      <w:r w:rsidRPr="00AF414F">
        <w:rPr>
          <w:rFonts w:ascii="Times New Roman" w:hAnsi="Times New Roman" w:cs="Times New Roman"/>
          <w:sz w:val="24"/>
          <w:szCs w:val="24"/>
          <w:shd w:val="clear" w:color="auto" w:fill="FFFFFF"/>
        </w:rPr>
        <w:t>(1), 341-355.</w:t>
      </w:r>
    </w:p>
    <w:sectPr w:rsidR="00AF414F" w:rsidRPr="00750035" w:rsidSect="001E52D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B2C69F" w14:textId="77777777" w:rsidR="00C70E92" w:rsidRDefault="00C70E92" w:rsidP="00215723">
      <w:pPr>
        <w:spacing w:after="0" w:line="240" w:lineRule="auto"/>
      </w:pPr>
      <w:r>
        <w:separator/>
      </w:r>
    </w:p>
  </w:endnote>
  <w:endnote w:type="continuationSeparator" w:id="0">
    <w:p w14:paraId="1F6A89C2" w14:textId="77777777" w:rsidR="00C70E92" w:rsidRDefault="00C70E92" w:rsidP="002157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5079A8" w14:textId="77777777" w:rsidR="00C70E92" w:rsidRDefault="00C70E92" w:rsidP="00215723">
      <w:pPr>
        <w:spacing w:after="0" w:line="240" w:lineRule="auto"/>
      </w:pPr>
      <w:r>
        <w:separator/>
      </w:r>
    </w:p>
  </w:footnote>
  <w:footnote w:type="continuationSeparator" w:id="0">
    <w:p w14:paraId="4C0D7B34" w14:textId="77777777" w:rsidR="00C70E92" w:rsidRDefault="00C70E92" w:rsidP="002157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505424101"/>
      <w:docPartObj>
        <w:docPartGallery w:val="Page Numbers (Top of Page)"/>
        <w:docPartUnique/>
      </w:docPartObj>
    </w:sdtPr>
    <w:sdtEndPr>
      <w:rPr>
        <w:noProof/>
      </w:rPr>
    </w:sdtEndPr>
    <w:sdtContent>
      <w:p w14:paraId="7905AA42" w14:textId="1555F1BE" w:rsidR="00215723" w:rsidRPr="001E52D9" w:rsidRDefault="001E52D9" w:rsidP="001E52D9">
        <w:pPr>
          <w:pStyle w:val="Header"/>
          <w:jc w:val="right"/>
          <w:rPr>
            <w:rFonts w:ascii="Times New Roman" w:hAnsi="Times New Roman" w:cs="Times New Roman"/>
            <w:sz w:val="24"/>
            <w:szCs w:val="24"/>
          </w:rPr>
        </w:pPr>
        <w:r w:rsidRPr="001E52D9">
          <w:rPr>
            <w:rFonts w:ascii="Times New Roman" w:hAnsi="Times New Roman" w:cs="Times New Roman"/>
            <w:sz w:val="24"/>
            <w:szCs w:val="24"/>
          </w:rPr>
          <w:t>PART 2: ARTICLE SUMMARY</w:t>
        </w:r>
        <w:r>
          <w:rPr>
            <w:rFonts w:ascii="Times New Roman" w:hAnsi="Times New Roman" w:cs="Times New Roman"/>
            <w:sz w:val="24"/>
            <w:szCs w:val="24"/>
          </w:rPr>
          <w:tab/>
        </w:r>
        <w:r>
          <w:rPr>
            <w:rFonts w:ascii="Times New Roman" w:hAnsi="Times New Roman" w:cs="Times New Roman"/>
            <w:sz w:val="24"/>
            <w:szCs w:val="24"/>
          </w:rPr>
          <w:tab/>
        </w:r>
        <w:r w:rsidRPr="001E52D9">
          <w:rPr>
            <w:rFonts w:ascii="Times New Roman" w:hAnsi="Times New Roman" w:cs="Times New Roman"/>
            <w:sz w:val="24"/>
            <w:szCs w:val="24"/>
          </w:rPr>
          <w:fldChar w:fldCharType="begin"/>
        </w:r>
        <w:r w:rsidRPr="001E52D9">
          <w:rPr>
            <w:rFonts w:ascii="Times New Roman" w:hAnsi="Times New Roman" w:cs="Times New Roman"/>
            <w:sz w:val="24"/>
            <w:szCs w:val="24"/>
          </w:rPr>
          <w:instrText xml:space="preserve"> PAGE   \* MERGEFORMAT </w:instrText>
        </w:r>
        <w:r w:rsidRPr="001E52D9">
          <w:rPr>
            <w:rFonts w:ascii="Times New Roman" w:hAnsi="Times New Roman" w:cs="Times New Roman"/>
            <w:sz w:val="24"/>
            <w:szCs w:val="24"/>
          </w:rPr>
          <w:fldChar w:fldCharType="separate"/>
        </w:r>
        <w:r w:rsidRPr="001E52D9">
          <w:rPr>
            <w:rFonts w:ascii="Times New Roman" w:hAnsi="Times New Roman" w:cs="Times New Roman"/>
            <w:noProof/>
            <w:sz w:val="24"/>
            <w:szCs w:val="24"/>
          </w:rPr>
          <w:t>2</w:t>
        </w:r>
        <w:r w:rsidRPr="001E52D9">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474175794"/>
      <w:docPartObj>
        <w:docPartGallery w:val="Page Numbers (Top of Page)"/>
        <w:docPartUnique/>
      </w:docPartObj>
    </w:sdtPr>
    <w:sdtEndPr>
      <w:rPr>
        <w:noProof/>
      </w:rPr>
    </w:sdtEndPr>
    <w:sdtContent>
      <w:p w14:paraId="60A8AE87" w14:textId="3FD4E46F" w:rsidR="001E52D9" w:rsidRPr="001E52D9" w:rsidRDefault="001E52D9" w:rsidP="001E52D9">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1E52D9">
          <w:rPr>
            <w:rFonts w:ascii="Times New Roman" w:hAnsi="Times New Roman" w:cs="Times New Roman"/>
            <w:sz w:val="24"/>
            <w:szCs w:val="24"/>
          </w:rPr>
          <w:t>PART 2: ARTICLE SUMMARY</w:t>
        </w:r>
        <w:r>
          <w:rPr>
            <w:rFonts w:ascii="Times New Roman" w:hAnsi="Times New Roman" w:cs="Times New Roman"/>
            <w:sz w:val="24"/>
            <w:szCs w:val="24"/>
          </w:rPr>
          <w:tab/>
        </w:r>
        <w:r w:rsidRPr="001E52D9">
          <w:rPr>
            <w:rFonts w:ascii="Times New Roman" w:hAnsi="Times New Roman" w:cs="Times New Roman"/>
            <w:sz w:val="24"/>
            <w:szCs w:val="24"/>
          </w:rPr>
          <w:fldChar w:fldCharType="begin"/>
        </w:r>
        <w:r w:rsidRPr="001E52D9">
          <w:rPr>
            <w:rFonts w:ascii="Times New Roman" w:hAnsi="Times New Roman" w:cs="Times New Roman"/>
            <w:sz w:val="24"/>
            <w:szCs w:val="24"/>
          </w:rPr>
          <w:instrText xml:space="preserve"> PAGE   \* MERGEFORMAT </w:instrText>
        </w:r>
        <w:r w:rsidRPr="001E52D9">
          <w:rPr>
            <w:rFonts w:ascii="Times New Roman" w:hAnsi="Times New Roman" w:cs="Times New Roman"/>
            <w:sz w:val="24"/>
            <w:szCs w:val="24"/>
          </w:rPr>
          <w:fldChar w:fldCharType="separate"/>
        </w:r>
        <w:r w:rsidRPr="001E52D9">
          <w:rPr>
            <w:rFonts w:ascii="Times New Roman" w:hAnsi="Times New Roman" w:cs="Times New Roman"/>
            <w:noProof/>
            <w:sz w:val="24"/>
            <w:szCs w:val="24"/>
          </w:rPr>
          <w:t>2</w:t>
        </w:r>
        <w:r w:rsidRPr="001E52D9">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MjGxNDewMDC2NDQyMzRQ0lEKTi0uzszPAykwrAUA9PWxfSwAAAA="/>
  </w:docVars>
  <w:rsids>
    <w:rsidRoot w:val="00112FD5"/>
    <w:rsid w:val="000067AF"/>
    <w:rsid w:val="00016266"/>
    <w:rsid w:val="001018BE"/>
    <w:rsid w:val="00112FD5"/>
    <w:rsid w:val="001E52D9"/>
    <w:rsid w:val="00215723"/>
    <w:rsid w:val="00272061"/>
    <w:rsid w:val="00511D5C"/>
    <w:rsid w:val="00554841"/>
    <w:rsid w:val="005C2B9C"/>
    <w:rsid w:val="005D443D"/>
    <w:rsid w:val="006813A9"/>
    <w:rsid w:val="00750035"/>
    <w:rsid w:val="0076316C"/>
    <w:rsid w:val="007723C9"/>
    <w:rsid w:val="0094583C"/>
    <w:rsid w:val="009A0496"/>
    <w:rsid w:val="009B3D80"/>
    <w:rsid w:val="00AF414F"/>
    <w:rsid w:val="00BA3D54"/>
    <w:rsid w:val="00C70E92"/>
    <w:rsid w:val="00CD54FE"/>
    <w:rsid w:val="00CE4E67"/>
    <w:rsid w:val="00D03A34"/>
    <w:rsid w:val="00D375A2"/>
    <w:rsid w:val="00D80315"/>
    <w:rsid w:val="00EB4940"/>
    <w:rsid w:val="00F060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458F3"/>
  <w15:docId w15:val="{1E41DFBA-63F8-4190-8379-4E40ADC43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aramond" w:eastAsiaTheme="minorHAnsi" w:hAnsi="Garamond"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54F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57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5723"/>
  </w:style>
  <w:style w:type="paragraph" w:styleId="Footer">
    <w:name w:val="footer"/>
    <w:basedOn w:val="Normal"/>
    <w:link w:val="FooterChar"/>
    <w:uiPriority w:val="99"/>
    <w:unhideWhenUsed/>
    <w:rsid w:val="002157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57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4</Pages>
  <Words>654</Words>
  <Characters>3730</Characters>
  <Application>Microsoft Office Word</Application>
  <DocSecurity>0</DocSecurity>
  <Lines>31</Lines>
  <Paragraphs>8</Paragraphs>
  <ScaleCrop>false</ScaleCrop>
  <Company>Windows User</Company>
  <LinksUpToDate>false</LinksUpToDate>
  <CharactersWithSpaces>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ANTONY OUMA</cp:lastModifiedBy>
  <cp:revision>25</cp:revision>
  <dcterms:created xsi:type="dcterms:W3CDTF">2020-01-25T17:46:00Z</dcterms:created>
  <dcterms:modified xsi:type="dcterms:W3CDTF">2020-01-26T13:58:00Z</dcterms:modified>
</cp:coreProperties>
</file>